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5E5A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МОЗЫРСКОГО РАЙОННОГО ИСПОЛНИТЕЛЬНОГО КОМИТЕТА</w:t>
      </w:r>
    </w:p>
    <w:p w:rsidR="00000000" w:rsidRDefault="00135E5A">
      <w:pPr>
        <w:pStyle w:val="newncpi"/>
        <w:jc w:val="center"/>
      </w:pPr>
      <w:r>
        <w:rPr>
          <w:rStyle w:val="datepr"/>
        </w:rPr>
        <w:t>7 июля 2023 г.</w:t>
      </w:r>
      <w:r>
        <w:rPr>
          <w:rStyle w:val="number"/>
        </w:rPr>
        <w:t xml:space="preserve"> № 1114</w:t>
      </w:r>
    </w:p>
    <w:p w:rsidR="00000000" w:rsidRDefault="00135E5A">
      <w:pPr>
        <w:pStyle w:val="titlencpi"/>
      </w:pPr>
      <w:r>
        <w:t>О лицензировании услуг по реализации образовательных программ дошкольного, общего среднего и специального образования</w:t>
      </w:r>
    </w:p>
    <w:p w:rsidR="00000000" w:rsidRDefault="00135E5A">
      <w:pPr>
        <w:pStyle w:val="preamble"/>
      </w:pPr>
      <w:r>
        <w:t xml:space="preserve">На основании подпункта 1.2 пункта 1 статьи 12 </w:t>
      </w:r>
      <w:r>
        <w:t>Закона Республики Беларусь от 14 октября 2022 г. № 213-З «О лицензировании» Мозырский районный исполнительный комитет РЕШИЛ:</w:t>
      </w:r>
    </w:p>
    <w:p w:rsidR="00000000" w:rsidRDefault="00135E5A">
      <w:pPr>
        <w:pStyle w:val="point"/>
      </w:pPr>
      <w:r>
        <w:t>1. Утвердить Инструкцию о порядке проведения оценки соответствия возможностей соискателя лицензии долицензионным требованиям, лицен</w:t>
      </w:r>
      <w:r>
        <w:t>зиата лицензионным требованиям в сфере оказания услуг по реализации образовательных программ дошкольного, общего среднего и специального образования (прилагается).</w:t>
      </w:r>
    </w:p>
    <w:p w:rsidR="00000000" w:rsidRDefault="00135E5A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000000" w:rsidRDefault="00135E5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00000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135E5A">
            <w:pPr>
              <w:pStyle w:val="newncpi0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135E5A">
            <w:pPr>
              <w:pStyle w:val="newncpi0"/>
              <w:jc w:val="right"/>
            </w:pPr>
            <w:r>
              <w:rPr>
                <w:rStyle w:val="pers"/>
              </w:rPr>
              <w:t>Е.Ф.Павлечко</w:t>
            </w:r>
          </w:p>
        </w:tc>
      </w:tr>
      <w:tr w:rsidR="0000000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135E5A">
            <w:pPr>
              <w:pStyle w:val="newncpi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135E5A">
            <w:pPr>
              <w:pStyle w:val="newncpi0"/>
              <w:jc w:val="right"/>
            </w:pPr>
            <w:r>
              <w:t> </w:t>
            </w:r>
          </w:p>
        </w:tc>
      </w:tr>
      <w:tr w:rsidR="0000000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135E5A">
            <w:pPr>
              <w:pStyle w:val="newncpi0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135E5A">
            <w:pPr>
              <w:pStyle w:val="newncpi0"/>
              <w:jc w:val="right"/>
            </w:pPr>
            <w:r>
              <w:rPr>
                <w:rStyle w:val="pers"/>
              </w:rPr>
              <w:t>И.В.Апанасенко</w:t>
            </w:r>
          </w:p>
        </w:tc>
      </w:tr>
    </w:tbl>
    <w:p w:rsidR="00000000" w:rsidRDefault="00135E5A">
      <w:pPr>
        <w:pStyle w:val="newncpi0"/>
      </w:pPr>
      <w:r>
        <w:t> </w:t>
      </w:r>
    </w:p>
    <w:p w:rsidR="00000000" w:rsidRDefault="00135E5A">
      <w:pPr>
        <w:pStyle w:val="agree"/>
      </w:pPr>
      <w:r>
        <w:t>СОГЛАСОВАНО</w:t>
      </w:r>
    </w:p>
    <w:p w:rsidR="00000000" w:rsidRDefault="00135E5A">
      <w:pPr>
        <w:pStyle w:val="agree"/>
      </w:pPr>
      <w:r>
        <w:t>Министерство экономики</w:t>
      </w:r>
    </w:p>
    <w:p w:rsidR="00000000" w:rsidRDefault="00135E5A">
      <w:pPr>
        <w:pStyle w:val="agree"/>
      </w:pPr>
      <w:r>
        <w:t>Республики Беларусь</w:t>
      </w:r>
    </w:p>
    <w:p w:rsidR="00000000" w:rsidRDefault="00135E5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1"/>
        <w:gridCol w:w="2696"/>
      </w:tblGrid>
      <w:tr w:rsidR="00000000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35E5A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135E5A">
            <w:pPr>
              <w:pStyle w:val="capu1"/>
            </w:pPr>
            <w:r>
              <w:t>УТВЕРЖДЕНО</w:t>
            </w:r>
          </w:p>
          <w:p w:rsidR="00000000" w:rsidRDefault="00135E5A">
            <w:pPr>
              <w:pStyle w:val="cap1"/>
            </w:pPr>
            <w:r>
              <w:t xml:space="preserve">Решение </w:t>
            </w:r>
            <w:r>
              <w:br/>
              <w:t>Мозырского районного</w:t>
            </w:r>
            <w:r>
              <w:br/>
              <w:t>исполнительного комитета</w:t>
            </w:r>
          </w:p>
          <w:p w:rsidR="00000000" w:rsidRDefault="00135E5A">
            <w:pPr>
              <w:pStyle w:val="cap1"/>
            </w:pPr>
            <w:r>
              <w:t>07.07.2023 № 1114</w:t>
            </w:r>
          </w:p>
        </w:tc>
      </w:tr>
    </w:tbl>
    <w:p w:rsidR="00000000" w:rsidRDefault="00135E5A">
      <w:pPr>
        <w:pStyle w:val="titleu"/>
      </w:pPr>
      <w:r>
        <w:t>ИНСТРУКЦИЯ</w:t>
      </w:r>
      <w:r>
        <w:br/>
      </w:r>
      <w:r>
        <w:t>о порядке проведения оценки соответствия возможностей соискателя лицензии долицензионным требованиям, лицензиата лицензионным требованиям в сфере оказания услуг по реализации образовательных программ дошкольного, общего среднего и специального образования</w:t>
      </w:r>
    </w:p>
    <w:p w:rsidR="00000000" w:rsidRDefault="00135E5A">
      <w:pPr>
        <w:pStyle w:val="point"/>
      </w:pPr>
      <w:r>
        <w:t>1. Настоящая Инструкция определяет порядок проведения оценки соответствия возможностей соискателя лицензии долицензионным требованиям, лицензиата лицензионным требованиям, установленным для составляющих лицензируемую образовательную деятельность услуг, ука</w:t>
      </w:r>
      <w:r>
        <w:t>занных в подпунктах 2.6–2.13 пункта 2 статьи 213 Закона Республики Беларусь «О лицензировании» (далее – услуги по реализации образовательных программ).</w:t>
      </w:r>
    </w:p>
    <w:p w:rsidR="00000000" w:rsidRDefault="00135E5A">
      <w:pPr>
        <w:pStyle w:val="point"/>
      </w:pPr>
      <w:r>
        <w:lastRenderedPageBreak/>
        <w:t>2. Для целей настоящей Инструкции используются термины и их определения в значениях, установленных в ста</w:t>
      </w:r>
      <w:r>
        <w:t>тье 1 Закона Республики Беларусь «О лицензировании».</w:t>
      </w:r>
    </w:p>
    <w:p w:rsidR="00000000" w:rsidRDefault="00135E5A">
      <w:pPr>
        <w:pStyle w:val="point"/>
      </w:pPr>
      <w:r>
        <w:t>3. Оценка соответствия возможностей соискателя лицензии долицензионным требованиям, установленным абзацами вторым–одиннадцатым статьи 215 Закона Республики Беларусь «О лицензировании», а лицензиата – лиц</w:t>
      </w:r>
      <w:r>
        <w:t>ензионным требованиям, установленным статьей 216 Закона Республики Беларусь «О лицензировании» (далее – оценка), проводится отделом образования Мозырского районного исполнительного комитета (далее – отдел) в случаях, предусмотренных статьей 218 Закона Респ</w:t>
      </w:r>
      <w:r>
        <w:t>ублики Беларусь «О лицензировании».</w:t>
      </w:r>
    </w:p>
    <w:p w:rsidR="00000000" w:rsidRDefault="00135E5A">
      <w:pPr>
        <w:pStyle w:val="point"/>
      </w:pPr>
      <w:r>
        <w:t>4. Решение о назначении оценки оформляется приказом начальника отдела, в котором в числе прочего указывается:</w:t>
      </w:r>
    </w:p>
    <w:p w:rsidR="00000000" w:rsidRDefault="00135E5A">
      <w:pPr>
        <w:pStyle w:val="newncpi"/>
      </w:pPr>
      <w:r>
        <w:t>наименование соискателя лицензии (лицензиата);</w:t>
      </w:r>
    </w:p>
    <w:p w:rsidR="00000000" w:rsidRDefault="00135E5A">
      <w:pPr>
        <w:pStyle w:val="newncpi"/>
      </w:pPr>
      <w:r>
        <w:t>основание назначения и цель проведения оценки;</w:t>
      </w:r>
    </w:p>
    <w:p w:rsidR="00000000" w:rsidRDefault="00135E5A">
      <w:pPr>
        <w:pStyle w:val="newncpi"/>
      </w:pPr>
      <w:r>
        <w:t>персональный сос</w:t>
      </w:r>
      <w:r>
        <w:t>тав комиссии, создаваемой для проведения оценки (далее – комиссия), в составе не менее трех человек;</w:t>
      </w:r>
    </w:p>
    <w:p w:rsidR="00000000" w:rsidRDefault="00135E5A">
      <w:pPr>
        <w:pStyle w:val="newncpi"/>
      </w:pPr>
      <w:r>
        <w:t>дата начала проведения оценки.</w:t>
      </w:r>
    </w:p>
    <w:p w:rsidR="00000000" w:rsidRDefault="00135E5A">
      <w:pPr>
        <w:pStyle w:val="point"/>
      </w:pPr>
      <w:r>
        <w:t>5. Уведомление о назначении оценки в течение трех рабочих дней со дня ее назначения направляется соискателю лицензии (лиценз</w:t>
      </w:r>
      <w:r>
        <w:t>иату) по последнему известному отделу почтовому адресу, адресу места нахождения любым из доступных способов связи, позволяющих достоверно установить дату его получения.</w:t>
      </w:r>
    </w:p>
    <w:p w:rsidR="00000000" w:rsidRDefault="00135E5A">
      <w:pPr>
        <w:pStyle w:val="point"/>
      </w:pPr>
      <w:r>
        <w:t>6. Оценка проводится в срок, установленный статьей 32 Закона Республики Беларусь «О лиц</w:t>
      </w:r>
      <w:r>
        <w:t>ензировании».</w:t>
      </w:r>
    </w:p>
    <w:p w:rsidR="00000000" w:rsidRDefault="00135E5A">
      <w:pPr>
        <w:pStyle w:val="point"/>
      </w:pPr>
      <w:r>
        <w:t>7. В ходе проведения оценки отдел имеет право:</w:t>
      </w:r>
    </w:p>
    <w:p w:rsidR="00000000" w:rsidRDefault="00135E5A">
      <w:pPr>
        <w:pStyle w:val="newncpi"/>
      </w:pPr>
      <w:r>
        <w:t>получать от соискателя лицензии (лицензиата) документы, на которые даны ссылки в документах, прилагаемых к заявлению о предоставлении или изменении лицензии, и в таком заявлении;</w:t>
      </w:r>
    </w:p>
    <w:p w:rsidR="00000000" w:rsidRDefault="00135E5A">
      <w:pPr>
        <w:pStyle w:val="newncpi"/>
      </w:pPr>
      <w:r>
        <w:t>получать документы и (или) сведения, необходимые для проведения оценки, у иных государственных органов и других организаций посредством способов, установленных в части первой пункта 3 статьи 20 Закона Республики Беларусь «О лицензировании»;</w:t>
      </w:r>
    </w:p>
    <w:p w:rsidR="00000000" w:rsidRDefault="00135E5A">
      <w:pPr>
        <w:pStyle w:val="newncpi"/>
      </w:pPr>
      <w:r>
        <w:t>выезжать на мес</w:t>
      </w:r>
      <w:r>
        <w:t>то намерения осуществления (осуществления) лицензируемого вида деятельности и (или) место нахождения соискателя лицензии (лицензиата) для оценки достоверности информации, указанной в документах, прилагаемых к заявлению о предоставлении или изменении лиценз</w:t>
      </w:r>
      <w:r>
        <w:t>ии, и в таком заявлении, и фактической готовности к осуществлению заявленных услуг по реализации образовательных программ.</w:t>
      </w:r>
    </w:p>
    <w:p w:rsidR="00000000" w:rsidRDefault="00135E5A">
      <w:pPr>
        <w:pStyle w:val="point"/>
      </w:pPr>
      <w:r>
        <w:t>8. До начала проведения оценки члены комиссии предъявляют соискателю лицензии (лицензиату) служебные удостоверения либо документы, уд</w:t>
      </w:r>
      <w:r>
        <w:t>остоверяющие личность, и приказ о проведении оценки.</w:t>
      </w:r>
    </w:p>
    <w:p w:rsidR="00000000" w:rsidRDefault="00135E5A">
      <w:pPr>
        <w:pStyle w:val="point"/>
      </w:pPr>
      <w:r>
        <w:t>9. По результатам оценки составляется заключение о соответствии или несоответствии возможностей соискателя лицензии долицензионным требованиям, лицензиата лицензионным требованиям (далее – заключение).</w:t>
      </w:r>
    </w:p>
    <w:p w:rsidR="00000000" w:rsidRDefault="00135E5A">
      <w:pPr>
        <w:pStyle w:val="newncpi"/>
      </w:pPr>
      <w:r>
        <w:lastRenderedPageBreak/>
        <w:t>З</w:t>
      </w:r>
      <w:r>
        <w:t>аключение подписывается всеми членами комиссии. Если у члена комиссии имеется особое мнение, оно излагается в этом заключении.</w:t>
      </w:r>
    </w:p>
    <w:p w:rsidR="00000000" w:rsidRDefault="00135E5A">
      <w:pPr>
        <w:pStyle w:val="point"/>
      </w:pPr>
      <w:r>
        <w:t>10. Соискатель лицензии (лицензиат) должен быть ознакомлен с результатами оценки.</w:t>
      </w:r>
    </w:p>
    <w:p w:rsidR="00000000" w:rsidRDefault="00135E5A">
      <w:pPr>
        <w:pStyle w:val="newncpi"/>
      </w:pPr>
      <w:r>
        <w:t>Отметка об ознакомлении соискателя лицензии (ли</w:t>
      </w:r>
      <w:r>
        <w:t>цензиата) с результатами оценки проставляется на последнем листе заключения и удостоверяется подписью руководителя (уполномоченного представителя) этого соискателя лицензии (лицензиата).</w:t>
      </w:r>
    </w:p>
    <w:p w:rsidR="00000000" w:rsidRDefault="00135E5A">
      <w:pPr>
        <w:pStyle w:val="newncpi"/>
      </w:pPr>
      <w:r>
        <w:t>В случае отказа соискателя лицензии (лицензиата) от ознакомления с ре</w:t>
      </w:r>
      <w:r>
        <w:t>зультатами оценки отметка об этом проставляется на последнем листе заключения и удостоверяется подписью всех членов комиссии.</w:t>
      </w:r>
    </w:p>
    <w:p w:rsidR="00135E5A" w:rsidRDefault="00135E5A">
      <w:pPr>
        <w:pStyle w:val="newncpi"/>
      </w:pPr>
      <w:r>
        <w:t> </w:t>
      </w:r>
    </w:p>
    <w:sectPr w:rsidR="00135E5A">
      <w:pgSz w:w="11906" w:h="16838"/>
      <w:pgMar w:top="567" w:right="1134" w:bottom="567" w:left="141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attachedTemplate r:id="rId1"/>
  <w:defaultTabStop w:val="708"/>
  <w:noPunctuationKerning/>
  <w:characterSpacingControl w:val="doNotCompress"/>
  <w:compat/>
  <w:rsids>
    <w:rsidRoot w:val="00546356"/>
    <w:rsid w:val="00135E5A"/>
    <w:rsid w:val="0054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office:smarttags"/>
  <w:attachedSchema w:val="http://mycoolplace.com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pPr>
      <w:spacing w:before="100" w:beforeAutospacing="1" w:after="100" w:afterAutospacing="1"/>
    </w:pPr>
  </w:style>
  <w:style w:type="paragraph" w:customStyle="1" w:styleId="newncpi">
    <w:name w:val="newncpi"/>
    <w:basedOn w:val="a"/>
    <w:pPr>
      <w:spacing w:before="100" w:beforeAutospacing="1" w:after="100" w:afterAutospacing="1"/>
    </w:pPr>
  </w:style>
  <w:style w:type="paragraph" w:customStyle="1" w:styleId="titlencpi">
    <w:name w:val="titlencpi"/>
    <w:basedOn w:val="a"/>
    <w:pPr>
      <w:spacing w:before="100" w:beforeAutospacing="1" w:after="100" w:afterAutospacing="1"/>
    </w:pPr>
  </w:style>
  <w:style w:type="paragraph" w:customStyle="1" w:styleId="preamble">
    <w:name w:val="preamble"/>
    <w:basedOn w:val="a"/>
    <w:pPr>
      <w:spacing w:before="100" w:beforeAutospacing="1" w:after="100" w:afterAutospacing="1"/>
    </w:pPr>
  </w:style>
  <w:style w:type="paragraph" w:customStyle="1" w:styleId="point">
    <w:name w:val="point"/>
    <w:basedOn w:val="a"/>
    <w:pPr>
      <w:spacing w:before="100" w:beforeAutospacing="1" w:after="100" w:afterAutospacing="1"/>
    </w:pPr>
  </w:style>
  <w:style w:type="paragraph" w:customStyle="1" w:styleId="agree">
    <w:name w:val="agree"/>
    <w:basedOn w:val="a"/>
    <w:pPr>
      <w:spacing w:before="100" w:beforeAutospacing="1" w:after="100" w:afterAutospacing="1"/>
    </w:pPr>
  </w:style>
  <w:style w:type="paragraph" w:customStyle="1" w:styleId="capu1">
    <w:name w:val="capu1"/>
    <w:basedOn w:val="a"/>
    <w:pPr>
      <w:spacing w:before="100" w:beforeAutospacing="1" w:after="100" w:afterAutospacing="1"/>
    </w:pPr>
  </w:style>
  <w:style w:type="paragraph" w:customStyle="1" w:styleId="cap1">
    <w:name w:val="cap1"/>
    <w:basedOn w:val="a"/>
    <w:pPr>
      <w:spacing w:before="100" w:beforeAutospacing="1" w:after="100" w:afterAutospacing="1"/>
    </w:pPr>
  </w:style>
  <w:style w:type="paragraph" w:customStyle="1" w:styleId="titleu">
    <w:name w:val="titleu"/>
    <w:basedOn w:val="a"/>
    <w:pPr>
      <w:spacing w:before="100" w:beforeAutospacing="1" w:after="100" w:afterAutospacing="1"/>
    </w:pPr>
  </w:style>
  <w:style w:type="character" w:customStyle="1" w:styleId="name">
    <w:name w:val="name"/>
    <w:basedOn w:val="a0"/>
  </w:style>
  <w:style w:type="character" w:customStyle="1" w:styleId="promulgator">
    <w:name w:val="promulgator"/>
    <w:basedOn w:val="a0"/>
  </w:style>
  <w:style w:type="character" w:customStyle="1" w:styleId="datepr">
    <w:name w:val="datepr"/>
    <w:basedOn w:val="a0"/>
  </w:style>
  <w:style w:type="character" w:customStyle="1" w:styleId="number">
    <w:name w:val="number"/>
    <w:basedOn w:val="a0"/>
  </w:style>
  <w:style w:type="character" w:customStyle="1" w:styleId="post">
    <w:name w:val="post"/>
    <w:basedOn w:val="a0"/>
  </w:style>
  <w:style w:type="character" w:customStyle="1" w:styleId="pers">
    <w:name w:val="pers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4180</Characters>
  <Application>Microsoft Office Word</Application>
  <DocSecurity>0</DocSecurity>
  <Lines>34</Lines>
  <Paragraphs>9</Paragraphs>
  <ScaleCrop>false</ScaleCrop>
  <Company>office 2007 rus ent: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2023-07-31T07:27:00Z</dcterms:created>
  <dcterms:modified xsi:type="dcterms:W3CDTF">2023-07-31T07:27:00Z</dcterms:modified>
</cp:coreProperties>
</file>