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146" w:rsidRDefault="0057162F">
      <w:pPr>
        <w:spacing w:before="200" w:after="0" w:line="276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                                                 УТВЕРЖДЕНЫ</w:t>
      </w:r>
    </w:p>
    <w:p w:rsidR="00C64146" w:rsidRDefault="0057162F">
      <w:pPr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                                                 Постановлением</w:t>
      </w:r>
    </w:p>
    <w:p w:rsidR="00C64146" w:rsidRDefault="0057162F">
      <w:pPr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                                                 Министерства образования</w:t>
      </w:r>
    </w:p>
    <w:p w:rsidR="00C64146" w:rsidRDefault="0057162F">
      <w:pPr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                                                 </w:t>
      </w:r>
      <w:r>
        <w:rPr>
          <w:rFonts w:ascii="Courier New" w:eastAsia="Courier New" w:hAnsi="Courier New" w:cs="Courier New"/>
          <w:color w:val="000000"/>
          <w:sz w:val="20"/>
        </w:rPr>
        <w:t>Республики Беларусь</w:t>
      </w:r>
    </w:p>
    <w:p w:rsidR="00C64146" w:rsidRDefault="0057162F">
      <w:pPr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 xml:space="preserve">                                                   от 15.05.2024 N 60</w:t>
      </w:r>
    </w:p>
    <w:p w:rsidR="00C64146" w:rsidRDefault="0057162F">
      <w:pPr>
        <w:spacing w:after="0"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p w:rsidR="00C64146" w:rsidRDefault="0057162F">
      <w:pPr>
        <w:spacing w:before="200" w:after="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КРИТЕРИИ ОЦЕНКИ СТЕПЕНИ РИСКА ДЛЯ ОТБОРА ПРОВЕРЯЕМЫХ СУБЪЕКТОВ ПРИ ПРОВЕДЕНИИ ВЫБОРОЧНОЙ ПРОВЕРКИ В СФЕРЕ КОНТРОЛЯ ЗА ВЫПОЛНЕНИЕМ ЛИЦЕНЗИАТАМИ ЗАКОНОДАТЕЛЬСТВА О ЛИ</w:t>
      </w:r>
      <w:r>
        <w:rPr>
          <w:rFonts w:ascii="Arial" w:eastAsia="Arial" w:hAnsi="Arial" w:cs="Arial"/>
          <w:b/>
          <w:color w:val="000000"/>
        </w:rPr>
        <w:t>ЦЕНЗИРОВАНИИ, ЛИЦЕНЗИОННЫХ ТРЕБОВАНИЙ ОСУЩЕСТВЛЕНИЯ ОБРАЗОВАТЕЛЬНОЙ ДЕЯТЕЛЬНОСТИ</w:t>
      </w:r>
    </w:p>
    <w:p w:rsidR="00C64146" w:rsidRDefault="0057162F">
      <w:pPr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3685"/>
        <w:gridCol w:w="1474"/>
        <w:gridCol w:w="1020"/>
      </w:tblGrid>
      <w:tr w:rsidR="00C64146" w:rsidTr="0057162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GoBack" w:colFirst="0" w:colLast="4"/>
            <w:r>
              <w:rPr>
                <w:rFonts w:ascii="Arial" w:eastAsia="Arial" w:hAnsi="Arial" w:cs="Arial"/>
                <w:color w:val="000000"/>
              </w:rPr>
              <w:t>N</w:t>
            </w:r>
          </w:p>
          <w:p w:rsidR="00C64146" w:rsidRDefault="0057162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п/п</w:t>
            </w:r>
          </w:p>
        </w:tc>
        <w:tc>
          <w:tcPr>
            <w:tcW w:w="2381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Критерии</w:t>
            </w:r>
          </w:p>
        </w:tc>
        <w:tc>
          <w:tcPr>
            <w:tcW w:w="3685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Показатели</w:t>
            </w:r>
          </w:p>
        </w:tc>
        <w:tc>
          <w:tcPr>
            <w:tcW w:w="1474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Пороговое значение показателя</w:t>
            </w:r>
          </w:p>
        </w:tc>
        <w:tc>
          <w:tcPr>
            <w:tcW w:w="1020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Баллы</w:t>
            </w:r>
          </w:p>
        </w:tc>
      </w:tr>
      <w:bookmarkEnd w:id="0"/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0" w:space="0" w:color="836967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8560" w:type="dxa"/>
            <w:gridSpan w:val="4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Учреждения дошкольного образования и специального образования на уровне дошкольного образования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2381" w:type="dxa"/>
            <w:vMerge w:val="restart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Обеспеченность педагогическими кадрами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60%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Доля воспитателей дошкольного образования, имеющих образование по специальности "Дошкольное образование"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35%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Доля воспитателей дошкольного образования, имеющих высшую и первую квалификационную категорию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35%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Соответствие требованиям, установленным лицензией на осуществление образовательной деятельности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Реализация образовательных программ, составляющих лицензируемый вид деятельности, не указанных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1.3</w:t>
            </w:r>
          </w:p>
        </w:tc>
        <w:tc>
          <w:tcPr>
            <w:tcW w:w="2381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Обеспечение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безопасности образовательного процесса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Наличие воспитанников,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получивших травмы во время образовательного процесса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Наличие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0" w:space="0" w:color="836967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8560" w:type="dxa"/>
            <w:gridSpan w:val="4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Учреждения общего среднего образования и специального образования на уровне общего среднего образования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</w:t>
            </w:r>
          </w:p>
        </w:tc>
        <w:tc>
          <w:tcPr>
            <w:tcW w:w="2381" w:type="dxa"/>
            <w:vMerge w:val="restart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Обеспеченность педагогическими работниками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60%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Доля педагогических работников, имеющих высшую и первую квалификационную категорию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50%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2.2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Соответствие требованиям, установленным лицензией на осуществление образовательной деятельности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Реализация образовательных программ, не указанных в лицензии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2.3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Государственная аккредитация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2.4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Жизнеустройство выпускников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Количество выпускников, получивших</w:t>
            </w:r>
            <w:r>
              <w:rPr>
                <w:rFonts w:ascii="Arial" w:eastAsia="Arial" w:hAnsi="Arial" w:cs="Arial"/>
                <w:color w:val="000000"/>
              </w:rPr>
              <w:t xml:space="preserve"> общее базовое образование, которые нигде не работают и не учатся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Количество выпускников, получивших общее среднее образование, которые нигде не работают и не учатся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2.5</w:t>
            </w:r>
          </w:p>
        </w:tc>
        <w:tc>
          <w:tcPr>
            <w:tcW w:w="2381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Обеспечение безопасности образовательного процесса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учащихся, получивших травмы во время образовательного процесса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0" w:space="0" w:color="836967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8560" w:type="dxa"/>
            <w:gridSpan w:val="4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Учреждения среднего специального образования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</w:t>
            </w:r>
          </w:p>
        </w:tc>
        <w:tc>
          <w:tcPr>
            <w:tcW w:w="2381" w:type="dxa"/>
            <w:vMerge w:val="restart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Обеспеченность педагогическими кадрами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70%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Количественный состав педагогических работников, имеющих первую и высшую квалификационную категорию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40%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3.2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Соответствие требованиям, установленным лицензией на осуществление образовательной деятельности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Реализация образовательных программ по специальностям, не указанным в лицензии (при наличии уровня среднего специального образования)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3.3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Государственная аккредитация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Отказ в государственной аккредитации (подтверждении государственной ак</w:t>
            </w:r>
            <w:r>
              <w:rPr>
                <w:rFonts w:ascii="Arial" w:eastAsia="Arial" w:hAnsi="Arial" w:cs="Arial"/>
                <w:color w:val="000000"/>
              </w:rPr>
              <w:t>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3.4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Жизнеустройство обучающихся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сохранения контингента обучающихся на протяжении всего периода обучения от контрольных цифр приема в дневной форме за счет средств бюджета (в разрезе специальностей)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90%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выпускников, обучавшихся за счет средств бюджета в дневной форме, получивших направление на работу по полученной специальности, от общего числа выпускников, подлежащих распределению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90%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8560" w:type="dxa"/>
            <w:gridSpan w:val="4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Учреждения высшего образования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4.1</w:t>
            </w:r>
          </w:p>
        </w:tc>
        <w:tc>
          <w:tcPr>
            <w:tcW w:w="2381" w:type="dxa"/>
            <w:vMerge w:val="restart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Обеспеченность педагогическими кадрами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укомплектованности учреждения образования педагогическими работниками, для которых эта работа является основным местом работы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70%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профессорско-преподавательского состава (далее - ППС) с учеными степенями и званиями от общего количества ППС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40%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4.2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Соответствие требованиям, установленным лицензией на осуществление образовательной деятельности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Реализация образовательных программ по специальностям, не указанным в лицензии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4.3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Государственная аккредитация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4.4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Жизнеустройство обучающихся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сохранения контингента обу</w:t>
            </w:r>
            <w:r>
              <w:rPr>
                <w:rFonts w:ascii="Arial" w:eastAsia="Arial" w:hAnsi="Arial" w:cs="Arial"/>
                <w:color w:val="000000"/>
              </w:rPr>
              <w:t xml:space="preserve">чающихся на протяжении всего периода обучения от контрольных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цифр приема в дневной форме за счет средств бюджета (в разрезе специальностей)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Менее 80%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Процент выпускников, обучавшихся за счет средств бюджета в дневной форме, получивших направление на работу по полученной специальности, от общего числа выпускников, подлежащих распределению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Менее 90%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8560" w:type="dxa"/>
            <w:gridSpan w:val="4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Учреждения дополнительного образования взрослых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5.1</w:t>
            </w:r>
          </w:p>
        </w:tc>
        <w:tc>
          <w:tcPr>
            <w:tcW w:w="2381" w:type="dxa"/>
            <w:vMerge w:val="restart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Соответствие требованиям, установленным лицензией на осуществление образовательной деятельности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Реализация образовательных программ по специальностям, не указанным в лицензии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5.2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Государственная аккредитация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Выдача учреждением образования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8560" w:type="dxa"/>
            <w:gridSpan w:val="4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Иные организации, которым в соответствии с законодательством пре</w:t>
            </w:r>
            <w:r>
              <w:rPr>
                <w:rFonts w:ascii="Arial" w:eastAsia="Arial" w:hAnsi="Arial" w:cs="Arial"/>
                <w:b/>
                <w:color w:val="000000"/>
              </w:rPr>
              <w:t>доставлено право осуществлять образовательную деятельность по профилю образования, направлению образования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6.1</w:t>
            </w:r>
          </w:p>
        </w:tc>
        <w:tc>
          <w:tcPr>
            <w:tcW w:w="2381" w:type="dxa"/>
            <w:vMerge w:val="restart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Соответствие требованиям, установленным лицензией на осуществление образовательной деятельности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Превышение предельной численности обучающихся, указанной в лицензии, в том числе в обособленном подразделении (филиале)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0" w:space="0" w:color="836967"/>
              <w:left w:val="single" w:sz="10" w:space="0" w:color="000000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Реализация образовательных программ по профилю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образования, направлению образования, не указанным в лицензии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6.2</w:t>
            </w:r>
          </w:p>
        </w:tc>
        <w:tc>
          <w:tcPr>
            <w:tcW w:w="2381" w:type="dxa"/>
            <w:vMerge w:val="restart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Государственная аккредитация</w:t>
            </w: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Отказ в государственной аккредитации (подтверждении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C64146">
            <w:pPr>
              <w:spacing w:after="200" w:line="276" w:lineRule="auto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85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Выдача иной организацией документов об образовании без прохождения в установленном порядке государственной аккредитации (подтверждения государственной аккредитации)</w:t>
            </w:r>
          </w:p>
        </w:tc>
        <w:tc>
          <w:tcPr>
            <w:tcW w:w="1474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Наличие фактов</w:t>
            </w:r>
          </w:p>
        </w:tc>
        <w:tc>
          <w:tcPr>
            <w:tcW w:w="1020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</w:tbl>
    <w:p w:rsidR="00C64146" w:rsidRDefault="0057162F">
      <w:pPr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p w:rsidR="00C64146" w:rsidRDefault="0057162F">
      <w:pPr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Признаки добропорядочности учреждений образования, иных организаций, которым в соответствии с законодательством предоставлено право осуществления образовательной деятельности, для отбора проверяемых субъектов при проведении выборочной проверки</w:t>
      </w:r>
    </w:p>
    <w:p w:rsidR="00C64146" w:rsidRDefault="0057162F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7596"/>
        <w:gridCol w:w="963"/>
      </w:tblGrid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</w:t>
            </w:r>
          </w:p>
          <w:p w:rsidR="00C64146" w:rsidRDefault="0057162F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п/п</w:t>
            </w:r>
          </w:p>
        </w:tc>
        <w:tc>
          <w:tcPr>
            <w:tcW w:w="7596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Критерии</w:t>
            </w:r>
          </w:p>
        </w:tc>
        <w:tc>
          <w:tcPr>
            <w:tcW w:w="963" w:type="dxa"/>
            <w:tcBorders>
              <w:top w:val="single" w:sz="10" w:space="0" w:color="000000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Баллы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0" w:space="0" w:color="836967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7596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Отсутствие нарушений в работе учреждения образования, иной организации, которой в соответствии с законодательством предоставлено право осуществления образовательной деятельности, за предыдущие проверяемые периоды</w:t>
            </w:r>
          </w:p>
        </w:tc>
        <w:tc>
          <w:tcPr>
            <w:tcW w:w="963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-2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0" w:space="0" w:color="836967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7596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Отсутствие обоснованных жалоб на работу учреждения образования, иной организации, которой в соответствии с законодательством предоставлено право осуществления образовательной деятельности</w:t>
            </w:r>
          </w:p>
        </w:tc>
        <w:tc>
          <w:tcPr>
            <w:tcW w:w="963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-2</w:t>
            </w:r>
          </w:p>
        </w:tc>
      </w:tr>
      <w:tr w:rsidR="00C64146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0" w:space="0" w:color="836967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7596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64146" w:rsidRDefault="0057162F">
            <w:pPr>
              <w:spacing w:before="200" w:after="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Работа на рынке образовательных услуг более 20 лет</w:t>
            </w:r>
          </w:p>
        </w:tc>
        <w:tc>
          <w:tcPr>
            <w:tcW w:w="963" w:type="dxa"/>
            <w:tcBorders>
              <w:top w:val="single" w:sz="0" w:space="0" w:color="836967"/>
              <w:left w:val="single" w:sz="0" w:space="0" w:color="836967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64146" w:rsidRDefault="0057162F">
            <w:pPr>
              <w:spacing w:before="200"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-1</w:t>
            </w:r>
          </w:p>
        </w:tc>
      </w:tr>
    </w:tbl>
    <w:p w:rsidR="00C64146" w:rsidRDefault="0057162F">
      <w:pP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p w:rsidR="00C64146" w:rsidRDefault="0057162F">
      <w:pPr>
        <w:spacing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Источники информации:</w:t>
      </w:r>
    </w:p>
    <w:p w:rsidR="00C64146" w:rsidRDefault="0057162F">
      <w:pPr>
        <w:spacing w:before="200"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Учреждения дошкольного образования, специальные детские сады - республиканская информационно-аналитическая система "1-ДУ", формы "Учет учреждений дошкольного образования", "Учет учреждений дошкольного образования (Специальное образова</w:t>
      </w:r>
      <w:r>
        <w:rPr>
          <w:rFonts w:ascii="Arial" w:eastAsia="Arial" w:hAnsi="Arial" w:cs="Arial"/>
          <w:color w:val="000000"/>
        </w:rPr>
        <w:t xml:space="preserve">ние)", утвержденные постановлением Министерства образования Республики Беларусь от 15 сентября 2015 г. N 115 "Аб </w:t>
      </w:r>
      <w:proofErr w:type="spellStart"/>
      <w:r>
        <w:rPr>
          <w:rFonts w:ascii="Arial" w:eastAsia="Arial" w:hAnsi="Arial" w:cs="Arial"/>
          <w:color w:val="000000"/>
        </w:rPr>
        <w:t>зацвярджэннi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Iнструкцыi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аб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парадку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фармiравання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вядзення</w:t>
      </w:r>
      <w:proofErr w:type="spellEnd"/>
      <w:r>
        <w:rPr>
          <w:rFonts w:ascii="Arial" w:eastAsia="Arial" w:hAnsi="Arial" w:cs="Arial"/>
          <w:color w:val="000000"/>
        </w:rPr>
        <w:t xml:space="preserve"> i </w:t>
      </w:r>
      <w:proofErr w:type="spellStart"/>
      <w:r>
        <w:rPr>
          <w:rFonts w:ascii="Arial" w:eastAsia="Arial" w:hAnsi="Arial" w:cs="Arial"/>
          <w:color w:val="000000"/>
        </w:rPr>
        <w:t>выкарыстання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аўтаматызаванай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сiстэмы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ўлiку</w:t>
      </w:r>
      <w:proofErr w:type="spellEnd"/>
      <w:r>
        <w:rPr>
          <w:rFonts w:ascii="Arial" w:eastAsia="Arial" w:hAnsi="Arial" w:cs="Arial"/>
          <w:color w:val="000000"/>
        </w:rPr>
        <w:t xml:space="preserve"> ў сферы </w:t>
      </w:r>
      <w:proofErr w:type="spellStart"/>
      <w:r>
        <w:rPr>
          <w:rFonts w:ascii="Arial" w:eastAsia="Arial" w:hAnsi="Arial" w:cs="Arial"/>
          <w:color w:val="000000"/>
        </w:rPr>
        <w:t>адукацыi</w:t>
      </w:r>
      <w:proofErr w:type="spellEnd"/>
      <w:r>
        <w:rPr>
          <w:rFonts w:ascii="Arial" w:eastAsia="Arial" w:hAnsi="Arial" w:cs="Arial"/>
          <w:color w:val="000000"/>
        </w:rPr>
        <w:t xml:space="preserve"> "Электронная </w:t>
      </w:r>
      <w:proofErr w:type="spellStart"/>
      <w:r>
        <w:rPr>
          <w:rFonts w:ascii="Arial" w:eastAsia="Arial" w:hAnsi="Arial" w:cs="Arial"/>
          <w:color w:val="000000"/>
        </w:rPr>
        <w:t>адукацыя</w:t>
      </w:r>
      <w:proofErr w:type="spellEnd"/>
      <w:r>
        <w:rPr>
          <w:rFonts w:ascii="Arial" w:eastAsia="Arial" w:hAnsi="Arial" w:cs="Arial"/>
          <w:color w:val="000000"/>
        </w:rPr>
        <w:t>".</w:t>
      </w:r>
    </w:p>
    <w:p w:rsidR="00C64146" w:rsidRDefault="0057162F">
      <w:pPr>
        <w:spacing w:before="200"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Учреждения общего среднего и специального образования:</w:t>
      </w:r>
    </w:p>
    <w:p w:rsidR="00C64146" w:rsidRDefault="0057162F">
      <w:pPr>
        <w:spacing w:before="200"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по учреждениям общего среднего образования: республиканская автоматизированная система "Электронное образование", формы "Учет учреждений общего среднего образования", "Учет педагогических кадров учреж</w:t>
      </w:r>
      <w:r>
        <w:rPr>
          <w:rFonts w:ascii="Arial" w:eastAsia="Arial" w:hAnsi="Arial" w:cs="Arial"/>
          <w:color w:val="000000"/>
        </w:rPr>
        <w:t xml:space="preserve">дений общего среднего образования", утвержденные постановлением Министерства образования Республики Беларусь от 15 сентября 2015 г. N 115 "Аб </w:t>
      </w:r>
      <w:proofErr w:type="spellStart"/>
      <w:r>
        <w:rPr>
          <w:rFonts w:ascii="Arial" w:eastAsia="Arial" w:hAnsi="Arial" w:cs="Arial"/>
          <w:color w:val="000000"/>
        </w:rPr>
        <w:t>зацвярджэннi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Iнструкцыi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аб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парадку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фармiравання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вядзення</w:t>
      </w:r>
      <w:proofErr w:type="spellEnd"/>
      <w:r>
        <w:rPr>
          <w:rFonts w:ascii="Arial" w:eastAsia="Arial" w:hAnsi="Arial" w:cs="Arial"/>
          <w:color w:val="000000"/>
        </w:rPr>
        <w:t xml:space="preserve"> i </w:t>
      </w:r>
      <w:proofErr w:type="spellStart"/>
      <w:r>
        <w:rPr>
          <w:rFonts w:ascii="Arial" w:eastAsia="Arial" w:hAnsi="Arial" w:cs="Arial"/>
          <w:color w:val="000000"/>
        </w:rPr>
        <w:t>выкарыстання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аўтаматызаванай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сiстэмы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ўлiку</w:t>
      </w:r>
      <w:proofErr w:type="spellEnd"/>
      <w:r>
        <w:rPr>
          <w:rFonts w:ascii="Arial" w:eastAsia="Arial" w:hAnsi="Arial" w:cs="Arial"/>
          <w:color w:val="000000"/>
        </w:rPr>
        <w:t xml:space="preserve"> ў сферы </w:t>
      </w:r>
      <w:proofErr w:type="spellStart"/>
      <w:r>
        <w:rPr>
          <w:rFonts w:ascii="Arial" w:eastAsia="Arial" w:hAnsi="Arial" w:cs="Arial"/>
          <w:color w:val="000000"/>
        </w:rPr>
        <w:t>аду</w:t>
      </w:r>
      <w:r>
        <w:rPr>
          <w:rFonts w:ascii="Arial" w:eastAsia="Arial" w:hAnsi="Arial" w:cs="Arial"/>
          <w:color w:val="000000"/>
        </w:rPr>
        <w:t>кацыi</w:t>
      </w:r>
      <w:proofErr w:type="spellEnd"/>
      <w:r>
        <w:rPr>
          <w:rFonts w:ascii="Arial" w:eastAsia="Arial" w:hAnsi="Arial" w:cs="Arial"/>
          <w:color w:val="000000"/>
        </w:rPr>
        <w:t xml:space="preserve"> "Электронная </w:t>
      </w:r>
      <w:proofErr w:type="spellStart"/>
      <w:r>
        <w:rPr>
          <w:rFonts w:ascii="Arial" w:eastAsia="Arial" w:hAnsi="Arial" w:cs="Arial"/>
          <w:color w:val="000000"/>
        </w:rPr>
        <w:t>адукацыя</w:t>
      </w:r>
      <w:proofErr w:type="spellEnd"/>
      <w:r>
        <w:rPr>
          <w:rFonts w:ascii="Arial" w:eastAsia="Arial" w:hAnsi="Arial" w:cs="Arial"/>
          <w:color w:val="000000"/>
        </w:rPr>
        <w:t>";</w:t>
      </w:r>
    </w:p>
    <w:p w:rsidR="00C64146" w:rsidRDefault="0057162F">
      <w:pPr>
        <w:spacing w:before="200"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по учреждениям специального образования: республиканская автоматизированная система "Электронное образование", форма "Учет учреждений общего среднего образования (Специальное образование)", утвержденная постановлением Министер</w:t>
      </w:r>
      <w:r>
        <w:rPr>
          <w:rFonts w:ascii="Arial" w:eastAsia="Arial" w:hAnsi="Arial" w:cs="Arial"/>
          <w:color w:val="000000"/>
        </w:rPr>
        <w:t xml:space="preserve">ства образования Республики Беларусь от 15 сентября 2015 г. N 115 "Аб </w:t>
      </w:r>
      <w:proofErr w:type="spellStart"/>
      <w:r>
        <w:rPr>
          <w:rFonts w:ascii="Arial" w:eastAsia="Arial" w:hAnsi="Arial" w:cs="Arial"/>
          <w:color w:val="000000"/>
        </w:rPr>
        <w:t>зацвярджэннi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Iнструкцыi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аб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парадку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фармiравання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вядзення</w:t>
      </w:r>
      <w:proofErr w:type="spellEnd"/>
      <w:r>
        <w:rPr>
          <w:rFonts w:ascii="Arial" w:eastAsia="Arial" w:hAnsi="Arial" w:cs="Arial"/>
          <w:color w:val="000000"/>
        </w:rPr>
        <w:t xml:space="preserve"> i </w:t>
      </w:r>
      <w:proofErr w:type="spellStart"/>
      <w:r>
        <w:rPr>
          <w:rFonts w:ascii="Arial" w:eastAsia="Arial" w:hAnsi="Arial" w:cs="Arial"/>
          <w:color w:val="000000"/>
        </w:rPr>
        <w:t>выкарыстання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аўтаматызаванай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сiстэмы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ўлiку</w:t>
      </w:r>
      <w:proofErr w:type="spellEnd"/>
      <w:r>
        <w:rPr>
          <w:rFonts w:ascii="Arial" w:eastAsia="Arial" w:hAnsi="Arial" w:cs="Arial"/>
          <w:color w:val="000000"/>
        </w:rPr>
        <w:t xml:space="preserve"> ў сферы </w:t>
      </w:r>
      <w:proofErr w:type="spellStart"/>
      <w:r>
        <w:rPr>
          <w:rFonts w:ascii="Arial" w:eastAsia="Arial" w:hAnsi="Arial" w:cs="Arial"/>
          <w:color w:val="000000"/>
        </w:rPr>
        <w:t>адукацыi</w:t>
      </w:r>
      <w:proofErr w:type="spellEnd"/>
      <w:r>
        <w:rPr>
          <w:rFonts w:ascii="Arial" w:eastAsia="Arial" w:hAnsi="Arial" w:cs="Arial"/>
          <w:color w:val="000000"/>
        </w:rPr>
        <w:t xml:space="preserve"> "Электронная </w:t>
      </w:r>
      <w:proofErr w:type="spellStart"/>
      <w:r>
        <w:rPr>
          <w:rFonts w:ascii="Arial" w:eastAsia="Arial" w:hAnsi="Arial" w:cs="Arial"/>
          <w:color w:val="000000"/>
        </w:rPr>
        <w:t>адукацыя</w:t>
      </w:r>
      <w:proofErr w:type="spellEnd"/>
      <w:r>
        <w:rPr>
          <w:rFonts w:ascii="Arial" w:eastAsia="Arial" w:hAnsi="Arial" w:cs="Arial"/>
          <w:color w:val="000000"/>
        </w:rPr>
        <w:t>".</w:t>
      </w:r>
    </w:p>
    <w:p w:rsidR="00C64146" w:rsidRDefault="0057162F">
      <w:pPr>
        <w:spacing w:before="200"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Учреждения среднего специального образован</w:t>
      </w:r>
      <w:r>
        <w:rPr>
          <w:rFonts w:ascii="Arial" w:eastAsia="Arial" w:hAnsi="Arial" w:cs="Arial"/>
          <w:color w:val="000000"/>
        </w:rPr>
        <w:t>ия - республиканская автоматизированная система "Электронное образование", форма "Учет учреждений профессионально-технического образования и (или) учреждений среднего специального образования", утвержденная постановлением Министерства образования Республик</w:t>
      </w:r>
      <w:r>
        <w:rPr>
          <w:rFonts w:ascii="Arial" w:eastAsia="Arial" w:hAnsi="Arial" w:cs="Arial"/>
          <w:color w:val="000000"/>
        </w:rPr>
        <w:t xml:space="preserve">и Беларусь от 15 сентября 2015 г. N 115 "Аб </w:t>
      </w:r>
      <w:proofErr w:type="spellStart"/>
      <w:r>
        <w:rPr>
          <w:rFonts w:ascii="Arial" w:eastAsia="Arial" w:hAnsi="Arial" w:cs="Arial"/>
          <w:color w:val="000000"/>
        </w:rPr>
        <w:t>зацвярджэннi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Iнструкцыi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аб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парадку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фармiравання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вядзення</w:t>
      </w:r>
      <w:proofErr w:type="spellEnd"/>
      <w:r>
        <w:rPr>
          <w:rFonts w:ascii="Arial" w:eastAsia="Arial" w:hAnsi="Arial" w:cs="Arial"/>
          <w:color w:val="000000"/>
        </w:rPr>
        <w:t xml:space="preserve"> i </w:t>
      </w:r>
      <w:proofErr w:type="spellStart"/>
      <w:r>
        <w:rPr>
          <w:rFonts w:ascii="Arial" w:eastAsia="Arial" w:hAnsi="Arial" w:cs="Arial"/>
          <w:color w:val="000000"/>
        </w:rPr>
        <w:t>выкарыстання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аўтаматызаванай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сiстэмы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ўлiку</w:t>
      </w:r>
      <w:proofErr w:type="spellEnd"/>
      <w:r>
        <w:rPr>
          <w:rFonts w:ascii="Arial" w:eastAsia="Arial" w:hAnsi="Arial" w:cs="Arial"/>
          <w:color w:val="000000"/>
        </w:rPr>
        <w:t xml:space="preserve"> ў сферы </w:t>
      </w:r>
      <w:proofErr w:type="spellStart"/>
      <w:r>
        <w:rPr>
          <w:rFonts w:ascii="Arial" w:eastAsia="Arial" w:hAnsi="Arial" w:cs="Arial"/>
          <w:color w:val="000000"/>
        </w:rPr>
        <w:t>адукацыi</w:t>
      </w:r>
      <w:proofErr w:type="spellEnd"/>
      <w:r>
        <w:rPr>
          <w:rFonts w:ascii="Arial" w:eastAsia="Arial" w:hAnsi="Arial" w:cs="Arial"/>
          <w:color w:val="000000"/>
        </w:rPr>
        <w:t xml:space="preserve"> "Электронная </w:t>
      </w:r>
      <w:proofErr w:type="spellStart"/>
      <w:r>
        <w:rPr>
          <w:rFonts w:ascii="Arial" w:eastAsia="Arial" w:hAnsi="Arial" w:cs="Arial"/>
          <w:color w:val="000000"/>
        </w:rPr>
        <w:t>адукацыя</w:t>
      </w:r>
      <w:proofErr w:type="spellEnd"/>
      <w:r>
        <w:rPr>
          <w:rFonts w:ascii="Arial" w:eastAsia="Arial" w:hAnsi="Arial" w:cs="Arial"/>
          <w:color w:val="000000"/>
        </w:rPr>
        <w:t>".</w:t>
      </w:r>
    </w:p>
    <w:p w:rsidR="00C64146" w:rsidRDefault="0057162F">
      <w:pPr>
        <w:spacing w:before="200" w:after="0" w:line="276" w:lineRule="auto"/>
        <w:ind w:firstLine="53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Учреждения высшего образования - республиканская автоматизированная </w:t>
      </w:r>
      <w:r>
        <w:rPr>
          <w:rFonts w:ascii="Arial" w:eastAsia="Arial" w:hAnsi="Arial" w:cs="Arial"/>
          <w:color w:val="000000"/>
        </w:rPr>
        <w:t>система "Электронное образование", формы "Учет учреждений высшего образования", "Учет профессорско-преподавательского состава учреждений высшего образования", форма "Учет направления на работу и трудоустройства выпускников, получивших высшее образование за</w:t>
      </w:r>
      <w:r>
        <w:rPr>
          <w:rFonts w:ascii="Arial" w:eastAsia="Arial" w:hAnsi="Arial" w:cs="Arial"/>
          <w:color w:val="000000"/>
        </w:rPr>
        <w:t xml:space="preserve"> счет средств республиканского бюджета", утвержденные постановлением Министерства образования Республики Беларусь от 15 сентября 2015 г. N 115 "Аб </w:t>
      </w:r>
      <w:proofErr w:type="spellStart"/>
      <w:r>
        <w:rPr>
          <w:rFonts w:ascii="Arial" w:eastAsia="Arial" w:hAnsi="Arial" w:cs="Arial"/>
          <w:color w:val="000000"/>
        </w:rPr>
        <w:t>зацвярджэннi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Iнструкцыi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аб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парадку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фармiравання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вядзення</w:t>
      </w:r>
      <w:proofErr w:type="spellEnd"/>
      <w:r>
        <w:rPr>
          <w:rFonts w:ascii="Arial" w:eastAsia="Arial" w:hAnsi="Arial" w:cs="Arial"/>
          <w:color w:val="000000"/>
        </w:rPr>
        <w:t xml:space="preserve"> i </w:t>
      </w:r>
      <w:proofErr w:type="spellStart"/>
      <w:r>
        <w:rPr>
          <w:rFonts w:ascii="Arial" w:eastAsia="Arial" w:hAnsi="Arial" w:cs="Arial"/>
          <w:color w:val="000000"/>
        </w:rPr>
        <w:t>выкарыстання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аўтаматызаванай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сiстэмы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ўлiку</w:t>
      </w:r>
      <w:proofErr w:type="spellEnd"/>
      <w:r>
        <w:rPr>
          <w:rFonts w:ascii="Arial" w:eastAsia="Arial" w:hAnsi="Arial" w:cs="Arial"/>
          <w:color w:val="000000"/>
        </w:rPr>
        <w:t xml:space="preserve"> ў сфер</w:t>
      </w:r>
      <w:r>
        <w:rPr>
          <w:rFonts w:ascii="Arial" w:eastAsia="Arial" w:hAnsi="Arial" w:cs="Arial"/>
          <w:color w:val="000000"/>
        </w:rPr>
        <w:t xml:space="preserve">ы </w:t>
      </w:r>
      <w:proofErr w:type="spellStart"/>
      <w:r>
        <w:rPr>
          <w:rFonts w:ascii="Arial" w:eastAsia="Arial" w:hAnsi="Arial" w:cs="Arial"/>
          <w:color w:val="000000"/>
        </w:rPr>
        <w:t>адукацыi</w:t>
      </w:r>
      <w:proofErr w:type="spellEnd"/>
      <w:r>
        <w:rPr>
          <w:rFonts w:ascii="Arial" w:eastAsia="Arial" w:hAnsi="Arial" w:cs="Arial"/>
          <w:color w:val="000000"/>
        </w:rPr>
        <w:t xml:space="preserve"> "Электронная </w:t>
      </w:r>
      <w:proofErr w:type="spellStart"/>
      <w:r>
        <w:rPr>
          <w:rFonts w:ascii="Arial" w:eastAsia="Arial" w:hAnsi="Arial" w:cs="Arial"/>
          <w:color w:val="000000"/>
        </w:rPr>
        <w:t>адукацыя</w:t>
      </w:r>
      <w:proofErr w:type="spellEnd"/>
      <w:r>
        <w:rPr>
          <w:rFonts w:ascii="Arial" w:eastAsia="Arial" w:hAnsi="Arial" w:cs="Arial"/>
          <w:color w:val="000000"/>
        </w:rPr>
        <w:t>".</w:t>
      </w:r>
    </w:p>
    <w:p w:rsidR="00C64146" w:rsidRDefault="0057162F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p w:rsidR="00C64146" w:rsidRDefault="0057162F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 </w:t>
      </w:r>
    </w:p>
    <w:p w:rsidR="00C64146" w:rsidRDefault="0057162F">
      <w:pP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------------------------------------------------------------------</w:t>
      </w:r>
    </w:p>
    <w:sectPr w:rsidR="00C6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146"/>
    <w:rsid w:val="0057162F"/>
    <w:rsid w:val="00C6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F5071-67D5-4B0F-ACA0-96FF0CBC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1661</Words>
  <Characters>9473</Characters>
  <Application>Microsoft Office Word</Application>
  <DocSecurity>0</DocSecurity>
  <Lines>78</Lines>
  <Paragraphs>22</Paragraphs>
  <ScaleCrop>false</ScaleCrop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2024-07-29T09:56:00Z</dcterms:created>
  <dcterms:modified xsi:type="dcterms:W3CDTF">2024-07-29T09:56:00Z</dcterms:modified>
</cp:coreProperties>
</file>